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OGGETTO: Manifestazione d’interesse, non vincolante, per la partecipazione alla Comunità Energetica Rinnovabile “CER De.Vi.Se.Nu.”</w:t>
      </w:r>
    </w:p>
    <w:p w:rsidR="00000000" w:rsidDel="00000000" w:rsidP="00000000" w:rsidRDefault="00000000" w:rsidRPr="00000000" w14:paraId="00000002">
      <w:pPr>
        <w:jc w:val="center"/>
        <w:rPr>
          <w:i w:val="1"/>
          <w:sz w:val="22"/>
          <w:szCs w:val="22"/>
          <w:u w:val="single"/>
        </w:rPr>
      </w:pPr>
      <w:r w:rsidDel="00000000" w:rsidR="00000000" w:rsidRPr="00000000">
        <w:rPr>
          <w:i w:val="1"/>
          <w:sz w:val="22"/>
          <w:szCs w:val="22"/>
          <w:u w:val="single"/>
          <w:rtl w:val="0"/>
        </w:rPr>
        <w:t xml:space="preserve">In caso di PERSONA FISICA</w:t>
      </w:r>
    </w:p>
    <w:tbl>
      <w:tblPr>
        <w:tblStyle w:val="Table1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3"/>
        <w:gridCol w:w="6095"/>
        <w:tblGridChange w:id="0">
          <w:tblGrid>
            <w:gridCol w:w="3543"/>
            <w:gridCol w:w="609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sottoscritto/la sottoscritta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Nato/a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Residente a (CAP-Città-Provincia)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Via/numero civico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Codice fiscale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E">
            <w:pPr>
              <w:tabs>
                <w:tab w:val="left" w:leader="none" w:pos="441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Indirizzo e-mail personale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PEC/e-mail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Telefono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Eventuale Partita IVA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Foglio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Particella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e8e8e8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Subalterno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color w:val="e8e8e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i w:val="1"/>
          <w:sz w:val="22"/>
          <w:szCs w:val="22"/>
          <w:u w:val="single"/>
        </w:rPr>
      </w:pPr>
      <w:r w:rsidDel="00000000" w:rsidR="00000000" w:rsidRPr="00000000">
        <w:rPr>
          <w:i w:val="1"/>
          <w:sz w:val="22"/>
          <w:szCs w:val="22"/>
          <w:u w:val="single"/>
          <w:rtl w:val="0"/>
        </w:rPr>
        <w:t xml:space="preserve">In caso di PERSONA GIURIDICA</w:t>
      </w:r>
    </w:p>
    <w:tbl>
      <w:tblPr>
        <w:tblStyle w:val="Table2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3"/>
        <w:gridCol w:w="6095"/>
        <w:tblGridChange w:id="0">
          <w:tblGrid>
            <w:gridCol w:w="3543"/>
            <w:gridCol w:w="609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sottoscritto/la sottoscritta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Nato/a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Residente a (CAP-Città-Provincia)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Via/numero civico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 qualità di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3">
            <w:pPr>
              <w:tabs>
                <w:tab w:val="left" w:leader="none" w:pos="441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Dell’impresa/Ente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5">
            <w:pPr>
              <w:tabs>
                <w:tab w:val="left" w:leader="none" w:pos="441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 sede in (Via-Num-Cap-Comune)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Codice Fiscale/Partita IVA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PEC/e-mail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Telefono (*)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Foglio (*)      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Particella (*)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e8e8e8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Subalterno (*)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1"/>
                <w:color w:val="e8e8e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Codice ATECO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color w:val="e8e8e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PREMESSO CHE</w:t>
      </w:r>
    </w:p>
    <w:p w:rsidR="00000000" w:rsidDel="00000000" w:rsidP="00000000" w:rsidRDefault="00000000" w:rsidRPr="00000000" w14:paraId="00000048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partecipazione alla “comunità energetica rinnovabile De.Vi.Se.Nu.” è aperta e basata su criteri oggettivi, trasparenti e non discriminatori. I partecipanti mantengono i loro diritti come clienti finali, compresi quelli di scegliere il proprio fornitore ed uscire dalla comunità quando lo desiderano.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MANIFESTA:</w:t>
      </w:r>
    </w:p>
    <w:p w:rsidR="00000000" w:rsidDel="00000000" w:rsidP="00000000" w:rsidRDefault="00000000" w:rsidRPr="00000000" w14:paraId="0000004A">
      <w:pPr>
        <w:spacing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proprio interesse a partecipare alla Comunità Energetica CER De.Vi.Se.Nu in qualità di:</w:t>
      </w:r>
    </w:p>
    <w:p w:rsidR="00000000" w:rsidDel="00000000" w:rsidP="00000000" w:rsidRDefault="00000000" w:rsidRPr="00000000" w14:paraId="0000004B">
      <w:pPr>
        <w:spacing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24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a2dkpqtlghhq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CONSUMATORE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87960" cy="195580"/>
                <wp:effectExtent b="0" l="0" r="0" t="0"/>
                <wp:wrapNone/>
                <wp:docPr id="187448973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8370" y="368856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20451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87960" cy="195580"/>
                <wp:effectExtent b="0" l="0" r="0" t="0"/>
                <wp:wrapNone/>
                <wp:docPr id="187448973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95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spacing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PRODUTTORE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90500" cy="200025"/>
                <wp:effectExtent b="0" l="0" r="0" t="0"/>
                <wp:wrapNone/>
                <wp:docPr id="187448973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8370" y="368856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20451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06539917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90500" cy="200025"/>
                <wp:effectExtent b="0" l="0" r="0" t="0"/>
                <wp:wrapNone/>
                <wp:docPr id="187448973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spacing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 tal fine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36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dell’Atto Costitutivo, dello Statuto, del Regolamento della Comunità Energetica Rinnovabile CER De.Vi.Se.Nu., e del Regolamento della configurazione di futura appartenenza, se presente;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36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nel caso voglia partecipare come PRODUTTORE, detiene o intende realizzare un impianto rinnovabile di __________ kW, tenendo presente che la potenza non può essere superiore a 1.000 kW. Nel caso di impianto già esistente, la partecipazione alla Comunità per la produzione di energia elettrica sarà regolamentata dall’applicazione del D.Lgs. 199/2021 e delle successive deliberazioni previste;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36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delle regole da rispettare e in particolare che: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108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soggetti partecipanti condividono l’energia prodotta utilizzando la rete di distribuzione esistente;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108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l’energia condivisa è pari al valore minimo, in ciascun periodo orario, tra l’energia elettrica prodotta e immessa in rete dagli impianti a fonti rinnovabili e l’energia elettrica prelevata dall’insieme dei clienti finali associati;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108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l’energia è condivisa per l’autoconsumo istantaneo, che può avvenire anche attraverso sistemi di accumulo;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108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caso di comunità energetiche rinnovabili, i punti di prelievo dei consumatori e i punti di immissione degli impianti sono ubicati su reti elettriche di bassa tensione sottese, alla data di creazione dell’associazione, alla medesima cabina di trasformazione primaria;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36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che la presente richiesta, non costituisce proposta contrattuale e non vincola in alcun modo la Comunità che sarà libera di interrompere in qualsiasi momento, per ragioni di sua esclusiva competenza, il procedimento avviato, senza che i soggetti richiedenti possano vantare alcuna pretesa.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360" w:right="13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360" w:right="13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tabs>
          <w:tab w:val="left" w:leader="none" w:pos="568"/>
        </w:tabs>
        <w:spacing w:after="0" w:before="179" w:line="237" w:lineRule="auto"/>
        <w:ind w:right="13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rHeight w:val="522.109375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bdjqzndl3xxb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DATA,LUOGO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RICHIEDENTE</w:t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spacing w:after="0" w:before="15" w:line="240" w:lineRule="auto"/>
      <w:jc w:val="center"/>
      <w:rPr>
        <w:rFonts w:ascii="Calibri" w:cs="Calibri" w:eastAsia="Calibri" w:hAnsi="Calibri"/>
        <w:b w:val="1"/>
        <w:color w:val="204513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color w:val="204513"/>
        <w:sz w:val="20"/>
        <w:szCs w:val="20"/>
        <w:rtl w:val="0"/>
      </w:rPr>
      <w:t xml:space="preserve">Comunità Energetica Rinnovabile CER-De.Vi.Se.Nu.</w:t>
    </w:r>
  </w:p>
  <w:p w:rsidR="00000000" w:rsidDel="00000000" w:rsidP="00000000" w:rsidRDefault="00000000" w:rsidRPr="00000000" w14:paraId="00000062">
    <w:pPr>
      <w:spacing w:after="0" w:before="15" w:line="240" w:lineRule="auto"/>
      <w:jc w:val="center"/>
      <w:rPr>
        <w:rFonts w:ascii="Calibri" w:cs="Calibri" w:eastAsia="Calibri" w:hAnsi="Calibri"/>
        <w:b w:val="1"/>
        <w:color w:val="204513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color w:val="204513"/>
        <w:sz w:val="20"/>
        <w:szCs w:val="20"/>
        <w:rtl w:val="0"/>
      </w:rPr>
      <w:t xml:space="preserve">Comuni di: Decimoputzu, Villasor, Villaspeciosa, Serramanna, Nuraminis                                                         </w:t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1"/>
        <w:i w:val="0"/>
        <w:smallCaps w:val="0"/>
        <w:strike w:val="0"/>
        <w:color w:val="20451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618297" cy="1618298"/>
          <wp:effectExtent b="0" l="0" r="0" t="0"/>
          <wp:docPr id="18744897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8297" cy="16182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BC70A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BC70A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BC70A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BC70A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BC70A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BC70A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BC70A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BC70A2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BC70A2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BC70A2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BC70A2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BC70A2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BC70A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BC70A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BC70A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BC70A2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1"/>
    <w:qFormat w:val="1"/>
    <w:rsid w:val="00BC70A2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BC70A2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BC70A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BC70A2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BC70A2"/>
    <w:rPr>
      <w:b w:val="1"/>
      <w:bCs w:val="1"/>
      <w:smallCaps w:val="1"/>
      <w:color w:val="0f4761" w:themeColor="accent1" w:themeShade="0000BF"/>
      <w:spacing w:val="5"/>
    </w:rPr>
  </w:style>
  <w:style w:type="paragraph" w:styleId="Intestazione">
    <w:name w:val="header"/>
    <w:basedOn w:val="Normale"/>
    <w:link w:val="IntestazioneCarattere"/>
    <w:uiPriority w:val="99"/>
    <w:unhideWhenUsed w:val="1"/>
    <w:rsid w:val="00BC70A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C70A2"/>
  </w:style>
  <w:style w:type="paragraph" w:styleId="Pidipagina">
    <w:name w:val="footer"/>
    <w:basedOn w:val="Normale"/>
    <w:link w:val="PidipaginaCarattere"/>
    <w:uiPriority w:val="99"/>
    <w:unhideWhenUsed w:val="1"/>
    <w:rsid w:val="00BC70A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C70A2"/>
  </w:style>
  <w:style w:type="paragraph" w:styleId="Corpotesto">
    <w:name w:val="Body Text"/>
    <w:basedOn w:val="Normale"/>
    <w:link w:val="CorpotestoCarattere"/>
    <w:uiPriority w:val="1"/>
    <w:qFormat w:val="1"/>
    <w:rsid w:val="00563E2C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kern w:val="0"/>
      <w:sz w:val="22"/>
      <w:szCs w:val="22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563E2C"/>
    <w:rPr>
      <w:rFonts w:ascii="Arial MT" w:cs="Arial MT" w:eastAsia="Arial MT" w:hAnsi="Arial MT"/>
      <w:kern w:val="0"/>
      <w:sz w:val="22"/>
      <w:szCs w:val="22"/>
    </w:rPr>
  </w:style>
  <w:style w:type="table" w:styleId="Grigliatabella">
    <w:name w:val="Table Grid"/>
    <w:basedOn w:val="Tabellanormale"/>
    <w:uiPriority w:val="39"/>
    <w:rsid w:val="009C606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laelenco6acolori-colore1">
    <w:name w:val="List Table 6 Colorful Accent 1"/>
    <w:basedOn w:val="Tabellanormale"/>
    <w:uiPriority w:val="51"/>
    <w:rsid w:val="00177E35"/>
    <w:pPr>
      <w:spacing w:after="40" w:before="40" w:line="240" w:lineRule="auto"/>
    </w:pPr>
    <w:rPr>
      <w:rFonts w:eastAsiaTheme="minorEastAsia"/>
      <w:color w:val="0a2f41" w:themeColor="accent1" w:themeShade="000080"/>
      <w:kern w:val="0"/>
      <w:sz w:val="22"/>
      <w:szCs w:val="22"/>
      <w:lang w:eastAsia="ja-JP"/>
    </w:rPr>
    <w:tblPr>
      <w:tblStyleRowBandSize w:val="1"/>
      <w:tblStyleColBandSize w:val="1"/>
      <w:tblBorders>
        <w:top w:color="156082" w:space="0" w:sz="4" w:themeColor="accent1" w:val="single"/>
        <w:bottom w:color="156082" w:space="0" w:sz="4" w:themeColor="accent1" w:val="single"/>
      </w:tblBorders>
      <w:tblCellMar>
        <w:left w:w="72.0" w:type="dxa"/>
        <w:right w:w="72.0" w:type="dxa"/>
      </w:tblCellMar>
    </w:tblPr>
    <w:tblStylePr w:type="firstRow">
      <w:rPr>
        <w:b w:val="1"/>
        <w:bCs w:val="1"/>
      </w:rPr>
      <w:tblPr/>
      <w:tcPr>
        <w:tcBorders>
          <w:bottom w:color="156082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156082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paragraph" w:styleId="Titolo21" w:customStyle="1">
    <w:name w:val="Titolo 21"/>
    <w:basedOn w:val="Normale"/>
    <w:uiPriority w:val="1"/>
    <w:qFormat w:val="1"/>
    <w:rsid w:val="00177E35"/>
    <w:pPr>
      <w:widowControl w:val="0"/>
      <w:autoSpaceDE w:val="0"/>
      <w:autoSpaceDN w:val="0"/>
      <w:spacing w:after="0" w:line="240" w:lineRule="auto"/>
      <w:ind w:left="1250" w:right="1248"/>
      <w:jc w:val="center"/>
      <w:outlineLvl w:val="2"/>
    </w:pPr>
    <w:rPr>
      <w:rFonts w:ascii="Calibri" w:cs="Calibri" w:eastAsia="Calibri" w:hAnsi="Calibri"/>
      <w:b w:val="1"/>
      <w:bCs w:val="1"/>
      <w:kern w:val="0"/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fc6NsDfEL742tJBz/NHUyWX3g==">CgMxLjAyDmguYTJka3BxdGxnaGhxMg5oLmJkanF6bmRsM3h4YjgAciExZkEzRGRiZUpZbnFXZjljZ0cyME5wbUp2Vk9fTjB2S2c=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2025-08-08T11:09:00Z</dcterms:created>
  <dc:creator>Francesca Mulas</dc:creator>
</cp:coreProperties>
</file>